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C" w:rsidRDefault="006D6FEC" w:rsidP="00D71241">
      <w:pPr>
        <w:shd w:val="clear" w:color="auto" w:fill="FFFFFF"/>
        <w:jc w:val="center"/>
        <w:outlineLvl w:val="0"/>
        <w:rPr>
          <w:rFonts w:ascii="Arial" w:hAnsi="Arial" w:cs="Arial"/>
          <w:b/>
          <w:kern w:val="36"/>
          <w:sz w:val="22"/>
          <w:szCs w:val="22"/>
        </w:rPr>
      </w:pPr>
    </w:p>
    <w:p w:rsidR="00DE4466" w:rsidRPr="002137E6" w:rsidRDefault="00C50B16" w:rsidP="00D71241">
      <w:pPr>
        <w:shd w:val="clear" w:color="auto" w:fill="FFFFFF"/>
        <w:jc w:val="center"/>
        <w:outlineLvl w:val="0"/>
        <w:rPr>
          <w:rFonts w:ascii="Arial" w:hAnsi="Arial" w:cs="Arial"/>
          <w:b/>
          <w:kern w:val="3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kern w:val="36"/>
          <w:sz w:val="22"/>
          <w:szCs w:val="22"/>
        </w:rPr>
        <w:t>List of federally-funded grants currently supported by the Rochester Epidemiology Project</w:t>
      </w:r>
    </w:p>
    <w:p w:rsidR="00DE4466" w:rsidRPr="00D71241" w:rsidRDefault="00DE4466" w:rsidP="006E6344">
      <w:pPr>
        <w:shd w:val="clear" w:color="auto" w:fill="FFFFFF"/>
        <w:jc w:val="right"/>
        <w:outlineLvl w:val="0"/>
        <w:rPr>
          <w:rFonts w:ascii="Arial" w:hAnsi="Arial" w:cs="Arial"/>
          <w:kern w:val="36"/>
        </w:rPr>
      </w:pPr>
    </w:p>
    <w:p w:rsidR="00DE4466" w:rsidRPr="00F01709" w:rsidRDefault="00DE4466" w:rsidP="00DE4466">
      <w:pPr>
        <w:rPr>
          <w:rFonts w:ascii="Arial" w:hAnsi="Arial" w:cs="Arial"/>
          <w:b/>
          <w:sz w:val="22"/>
          <w:szCs w:val="22"/>
        </w:rPr>
      </w:pPr>
      <w:r w:rsidRPr="00F13F70">
        <w:rPr>
          <w:rFonts w:ascii="Arial" w:hAnsi="Arial" w:cs="Arial"/>
          <w:sz w:val="22"/>
          <w:szCs w:val="22"/>
        </w:rPr>
        <w:t xml:space="preserve">The REP research infrastructure currently supports </w:t>
      </w:r>
      <w:r w:rsidR="00BF7B3B">
        <w:rPr>
          <w:rFonts w:ascii="Arial" w:hAnsi="Arial" w:cs="Arial"/>
          <w:b/>
          <w:sz w:val="22"/>
          <w:szCs w:val="22"/>
        </w:rPr>
        <w:t>3</w:t>
      </w:r>
      <w:r w:rsidR="003C5874">
        <w:rPr>
          <w:rFonts w:ascii="Arial" w:hAnsi="Arial" w:cs="Arial"/>
          <w:b/>
          <w:sz w:val="22"/>
          <w:szCs w:val="22"/>
        </w:rPr>
        <w:t>2</w:t>
      </w:r>
      <w:r w:rsidRPr="00F13F70">
        <w:rPr>
          <w:rFonts w:ascii="Arial" w:hAnsi="Arial" w:cs="Arial"/>
          <w:sz w:val="22"/>
          <w:szCs w:val="22"/>
        </w:rPr>
        <w:t xml:space="preserve"> federally funded projects, shown in the table below (</w:t>
      </w:r>
      <w:r w:rsidR="004D3FC0">
        <w:rPr>
          <w:rFonts w:ascii="Arial" w:hAnsi="Arial" w:cs="Arial"/>
          <w:sz w:val="22"/>
          <w:szCs w:val="22"/>
        </w:rPr>
        <w:t>March</w:t>
      </w:r>
      <w:r w:rsidRPr="00F13F70">
        <w:rPr>
          <w:rFonts w:ascii="Arial" w:hAnsi="Arial" w:cs="Arial"/>
          <w:sz w:val="22"/>
          <w:szCs w:val="22"/>
        </w:rPr>
        <w:t>, 201</w:t>
      </w:r>
      <w:r w:rsidR="003C2D9D">
        <w:rPr>
          <w:rFonts w:ascii="Arial" w:hAnsi="Arial" w:cs="Arial"/>
          <w:sz w:val="22"/>
          <w:szCs w:val="22"/>
        </w:rPr>
        <w:t>9</w:t>
      </w:r>
      <w:r w:rsidRPr="00F13F70">
        <w:rPr>
          <w:rFonts w:ascii="Arial" w:hAnsi="Arial" w:cs="Arial"/>
          <w:sz w:val="22"/>
          <w:szCs w:val="22"/>
        </w:rPr>
        <w:t>).  More information can be found on the</w:t>
      </w:r>
      <w:r w:rsidR="00F36637">
        <w:rPr>
          <w:rFonts w:ascii="Arial" w:hAnsi="Arial" w:cs="Arial"/>
          <w:sz w:val="22"/>
          <w:szCs w:val="22"/>
        </w:rPr>
        <w:t xml:space="preserve"> specific projects by searching </w:t>
      </w:r>
      <w:hyperlink r:id="rId5" w:history="1">
        <w:r w:rsidRPr="00F36637">
          <w:rPr>
            <w:rStyle w:val="Hyperlink"/>
            <w:rFonts w:ascii="Arial" w:hAnsi="Arial" w:cs="Arial"/>
            <w:sz w:val="22"/>
            <w:szCs w:val="22"/>
          </w:rPr>
          <w:t>NIH RePORTER</w:t>
        </w:r>
      </w:hyperlink>
      <w:r w:rsidRPr="00F13F70">
        <w:rPr>
          <w:rFonts w:ascii="Arial" w:hAnsi="Arial" w:cs="Arial"/>
          <w:sz w:val="22"/>
          <w:szCs w:val="22"/>
        </w:rPr>
        <w:t xml:space="preserve"> and entering the </w:t>
      </w:r>
      <w:r w:rsidR="003F204B">
        <w:rPr>
          <w:rFonts w:ascii="Arial" w:hAnsi="Arial" w:cs="Arial"/>
          <w:sz w:val="22"/>
          <w:szCs w:val="22"/>
        </w:rPr>
        <w:t>g</w:t>
      </w:r>
      <w:r w:rsidRPr="00F13F70">
        <w:rPr>
          <w:rFonts w:ascii="Arial" w:hAnsi="Arial" w:cs="Arial"/>
          <w:sz w:val="22"/>
          <w:szCs w:val="22"/>
        </w:rPr>
        <w:t xml:space="preserve">rant </w:t>
      </w:r>
      <w:r w:rsidR="003F204B">
        <w:rPr>
          <w:rFonts w:ascii="Arial" w:hAnsi="Arial" w:cs="Arial"/>
          <w:sz w:val="22"/>
          <w:szCs w:val="22"/>
        </w:rPr>
        <w:t>n</w:t>
      </w:r>
      <w:r w:rsidRPr="00F13F70">
        <w:rPr>
          <w:rFonts w:ascii="Arial" w:hAnsi="Arial" w:cs="Arial"/>
          <w:sz w:val="22"/>
          <w:szCs w:val="22"/>
        </w:rPr>
        <w:t xml:space="preserve">umber </w:t>
      </w:r>
      <w:r w:rsidR="003F204B">
        <w:rPr>
          <w:rFonts w:ascii="Arial" w:hAnsi="Arial" w:cs="Arial"/>
          <w:sz w:val="22"/>
          <w:szCs w:val="22"/>
        </w:rPr>
        <w:t xml:space="preserve">from the list </w:t>
      </w:r>
      <w:r w:rsidRPr="00F13F70">
        <w:rPr>
          <w:rFonts w:ascii="Arial" w:hAnsi="Arial" w:cs="Arial"/>
          <w:sz w:val="22"/>
          <w:szCs w:val="22"/>
        </w:rPr>
        <w:t xml:space="preserve">below in the </w:t>
      </w:r>
      <w:r w:rsidR="003F204B">
        <w:rPr>
          <w:rFonts w:ascii="Arial" w:hAnsi="Arial" w:cs="Arial"/>
          <w:sz w:val="22"/>
          <w:szCs w:val="22"/>
        </w:rPr>
        <w:t>“p</w:t>
      </w:r>
      <w:r w:rsidRPr="00F13F70">
        <w:rPr>
          <w:rFonts w:ascii="Arial" w:hAnsi="Arial" w:cs="Arial"/>
          <w:sz w:val="22"/>
          <w:szCs w:val="22"/>
        </w:rPr>
        <w:t xml:space="preserve">roject </w:t>
      </w:r>
      <w:r w:rsidR="003F204B">
        <w:rPr>
          <w:rFonts w:ascii="Arial" w:hAnsi="Arial" w:cs="Arial"/>
          <w:sz w:val="22"/>
          <w:szCs w:val="22"/>
        </w:rPr>
        <w:t>n</w:t>
      </w:r>
      <w:r w:rsidRPr="00F13F70">
        <w:rPr>
          <w:rFonts w:ascii="Arial" w:hAnsi="Arial" w:cs="Arial"/>
          <w:sz w:val="22"/>
          <w:szCs w:val="22"/>
        </w:rPr>
        <w:t>umber</w:t>
      </w:r>
      <w:r w:rsidR="003F204B">
        <w:rPr>
          <w:rFonts w:ascii="Arial" w:hAnsi="Arial" w:cs="Arial"/>
          <w:sz w:val="22"/>
          <w:szCs w:val="22"/>
        </w:rPr>
        <w:t>”</w:t>
      </w:r>
      <w:r w:rsidRPr="00F13F70">
        <w:rPr>
          <w:rFonts w:ascii="Arial" w:hAnsi="Arial" w:cs="Arial"/>
          <w:sz w:val="22"/>
          <w:szCs w:val="22"/>
        </w:rPr>
        <w:t xml:space="preserve"> search field.</w:t>
      </w:r>
    </w:p>
    <w:p w:rsidR="000E7C35" w:rsidRDefault="000E7C35" w:rsidP="00DE4466">
      <w:pPr>
        <w:rPr>
          <w:rFonts w:ascii="Arial" w:hAnsi="Arial" w:cs="Arial"/>
          <w:sz w:val="16"/>
          <w:szCs w:val="16"/>
        </w:rPr>
      </w:pPr>
    </w:p>
    <w:tbl>
      <w:tblPr>
        <w:tblW w:w="14020" w:type="dxa"/>
        <w:jc w:val="center"/>
        <w:tblLook w:val="04A0" w:firstRow="1" w:lastRow="0" w:firstColumn="1" w:lastColumn="0" w:noHBand="0" w:noVBand="1"/>
      </w:tblPr>
      <w:tblGrid>
        <w:gridCol w:w="1095"/>
        <w:gridCol w:w="720"/>
        <w:gridCol w:w="1685"/>
        <w:gridCol w:w="7470"/>
        <w:gridCol w:w="1735"/>
        <w:gridCol w:w="1315"/>
      </w:tblGrid>
      <w:tr w:rsidR="004D4CB4" w:rsidRPr="004D4CB4" w:rsidTr="000E012C">
        <w:trPr>
          <w:trHeight w:val="520"/>
          <w:tblHeader/>
          <w:jc w:val="center"/>
        </w:trPr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Funding Institute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Grant Type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Grant number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Study Title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PI Name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Funding Years</w:t>
            </w:r>
          </w:p>
        </w:tc>
      </w:tr>
      <w:tr w:rsidR="00CE1C21" w:rsidRPr="00505F97" w:rsidTr="000E012C">
        <w:trPr>
          <w:trHeight w:val="115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99A" w:rsidRPr="00505F97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U01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C131C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AG006786-33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Alzheimer’s disease patient registry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Petersen, 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1986-2019</w:t>
            </w:r>
          </w:p>
        </w:tc>
      </w:tr>
      <w:tr w:rsidR="00DF1028" w:rsidRPr="00505F97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AG011378-26A1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Disease pathways in the population determined by amyloid, tau, and neurodegeneration imaging biomarkers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Jack, C.R. Jr.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1993-2023</w:t>
            </w:r>
          </w:p>
        </w:tc>
      </w:tr>
      <w:tr w:rsidR="00DF1028" w:rsidRPr="00505F97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AG004875-34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Risk factors for fractures among the elderly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Amin,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Pr="00505F97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1997-2019</w:t>
            </w:r>
          </w:p>
        </w:tc>
      </w:tr>
      <w:tr w:rsidR="00CD511D" w:rsidRPr="00505F97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131CA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AG016574-20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Mayo Alzheimer's disease research center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Petersen, 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1999-2019</w:t>
            </w:r>
          </w:p>
        </w:tc>
      </w:tr>
      <w:tr w:rsidR="00441762" w:rsidRPr="00505F97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15076A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R0</w:t>
            </w:r>
            <w:r w:rsidR="00441762"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15076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AG0418</w:t>
            </w:r>
            <w:r w:rsidR="00260B24"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1-0</w:t>
            </w:r>
            <w:r w:rsidR="00C131CA">
              <w:rPr>
                <w:rFonts w:ascii="Arial" w:hAnsi="Arial" w:cs="Arial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32083F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Brain aging and Alzheimer’s biomarker classification using amyloid PET, Tau PET, and neurodegeneration on MRI:  developing the ATN system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Jack, C.R. Jr.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32083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2012-2022</w:t>
            </w:r>
          </w:p>
        </w:tc>
      </w:tr>
      <w:tr w:rsidR="002E675A" w:rsidRPr="004D4CB4" w:rsidTr="00DC22D5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FC7A04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C7A04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FC7A04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C7A04">
              <w:rPr>
                <w:rFonts w:ascii="Arial" w:hAnsi="Arial" w:cs="Arial"/>
                <w:b/>
                <w:color w:val="000000"/>
                <w:sz w:val="19"/>
                <w:szCs w:val="19"/>
              </w:rPr>
              <w:t>U54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FC7A04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C7A04">
              <w:rPr>
                <w:rFonts w:ascii="Arial" w:hAnsi="Arial" w:cs="Arial"/>
                <w:b/>
                <w:color w:val="000000"/>
                <w:sz w:val="19"/>
                <w:szCs w:val="19"/>
              </w:rPr>
              <w:t>AG044170-06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FC7A04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C7A04">
              <w:rPr>
                <w:rFonts w:ascii="Arial" w:hAnsi="Arial" w:cs="Arial"/>
                <w:b/>
                <w:color w:val="000000"/>
                <w:sz w:val="19"/>
                <w:szCs w:val="19"/>
              </w:rPr>
              <w:t>Sex-specific effects of endocrine disruption on aging and Alzheimer’s disease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FC7A04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C7A04">
              <w:rPr>
                <w:rFonts w:ascii="Arial" w:hAnsi="Arial" w:cs="Arial"/>
                <w:b/>
                <w:color w:val="000000"/>
                <w:sz w:val="19"/>
                <w:szCs w:val="19"/>
              </w:rPr>
              <w:t>Mielke, M.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FC7A04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C7A04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2012-2023</w:t>
            </w:r>
          </w:p>
        </w:tc>
      </w:tr>
      <w:tr w:rsidR="00DF1028" w:rsidRPr="00505F97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AG053512-02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Default="00DF1028" w:rsidP="001E264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Diagnostic and therapeutic approach to heart failure with preserved ejection fraction based on circulating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neprilysin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Pereira, N.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028" w:rsidRDefault="00DF1028" w:rsidP="001E264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2017-2019</w:t>
            </w:r>
          </w:p>
        </w:tc>
      </w:tr>
      <w:tr w:rsidR="00CD511D" w:rsidRPr="00505F97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131C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AG056366-02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D511D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Exceptional aging: Identifying modifiers of Alzheimer’s disease trajectories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B42C1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Ve</w:t>
            </w:r>
            <w:r w:rsidR="00CD511D">
              <w:rPr>
                <w:rFonts w:ascii="Arial" w:hAnsi="Arial" w:cs="Arial"/>
                <w:b/>
                <w:color w:val="000000"/>
                <w:sz w:val="19"/>
                <w:szCs w:val="19"/>
              </w:rPr>
              <w:t>muri, P.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D511D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2017-2022</w:t>
            </w:r>
          </w:p>
        </w:tc>
      </w:tr>
      <w:tr w:rsidR="00CD511D" w:rsidRPr="00505F97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RF1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AG055151-01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D511D" w:rsidP="001135A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Reproductive Risk Factors for Alzheimer’s disease dementia and pathology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Mielke, M.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2017-2022</w:t>
            </w:r>
          </w:p>
        </w:tc>
      </w:tr>
      <w:tr w:rsidR="00D21B53" w:rsidRPr="00505F97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Pr="00EC75D7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Pr="00EC75D7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Pr="00EC75D7" w:rsidRDefault="00C131C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AG052425-02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Default="00D21B53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Multiple chronic conditions and aging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Rocca, W.</w:t>
            </w:r>
          </w:p>
          <w:p w:rsidR="00D21B53" w:rsidRPr="00EC75D7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St. Sauver, J.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2017-2022</w:t>
            </w:r>
          </w:p>
        </w:tc>
      </w:tr>
      <w:tr w:rsidR="005B1BDF" w:rsidRPr="00505F97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EC75D7" w:rsidRDefault="005B1BD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EC75D7" w:rsidRDefault="005B1BD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K76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Default="00C131C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AG057015-02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Default="005B1BDF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Cerebral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microbleeds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in the aging population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Default="005B1BD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Graff-Radford, J.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Default="005B1BD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2017-2022</w:t>
            </w:r>
          </w:p>
        </w:tc>
      </w:tr>
      <w:tr w:rsidR="002E675A" w:rsidRPr="004D4CB4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8441FE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441FE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8441FE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441FE">
              <w:rPr>
                <w:rFonts w:ascii="Arial" w:hAnsi="Arial" w:cs="Arial"/>
                <w:b/>
                <w:color w:val="000000"/>
                <w:sz w:val="19"/>
                <w:szCs w:val="19"/>
              </w:rPr>
              <w:t>R21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8441FE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441FE"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AG058738-01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8441FE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441FE">
              <w:rPr>
                <w:rFonts w:ascii="Arial" w:hAnsi="Arial" w:cs="Arial"/>
                <w:b/>
                <w:color w:val="000000"/>
                <w:sz w:val="19"/>
                <w:szCs w:val="19"/>
              </w:rPr>
              <w:t>Interdisciplinary infrastructure for aging research: Rochester Epidemiology Project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441FE">
              <w:rPr>
                <w:rFonts w:ascii="Arial" w:hAnsi="Arial" w:cs="Arial"/>
                <w:b/>
                <w:color w:val="000000"/>
                <w:sz w:val="19"/>
                <w:szCs w:val="19"/>
              </w:rPr>
              <w:t>St. Sauver, J.</w:t>
            </w:r>
          </w:p>
          <w:p w:rsidR="002E675A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Olson, J.</w:t>
            </w:r>
          </w:p>
          <w:p w:rsidR="002E675A" w:rsidRPr="008441FE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LeBrasseur, N.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675A" w:rsidRPr="008441FE" w:rsidRDefault="002E675A" w:rsidP="0034367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441FE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2018-2020</w:t>
            </w:r>
          </w:p>
        </w:tc>
      </w:tr>
      <w:tr w:rsidR="00AE46DB" w:rsidRPr="00505F97" w:rsidTr="00DC22D5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BA0DB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AG057708-0</w:t>
            </w:r>
            <w:r w:rsidR="00BA0DB1"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Pathways linking neuropsychiatric symptoms with Alzheimer’s disease neuroimaging biomarkers and the outcome of incident mild cognitive impairment/dementia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Geda, Y.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2018-2022</w:t>
            </w:r>
          </w:p>
        </w:tc>
      </w:tr>
      <w:tr w:rsidR="007E404A" w:rsidRPr="00505F97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BA0DB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AG060920-01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6D38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Risk of cognitive impairment and dementia in total joint arthroplasty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Maradit Kremers, H.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2019-2023</w:t>
            </w:r>
          </w:p>
        </w:tc>
      </w:tr>
      <w:tr w:rsidR="007E404A" w:rsidRPr="004D4CB4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F30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CA235848-01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Cancer stage and diagnostic triggers as mortality surrogate to validate supplemental breast imaging use in women with dense breasts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Basappa, S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404A" w:rsidRDefault="007E404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2019-2023</w:t>
            </w:r>
          </w:p>
        </w:tc>
      </w:tr>
      <w:tr w:rsidR="009230DE" w:rsidRPr="004D4CB4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C131C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HL066216-16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Risk factors for venous thromboembolism in the community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Ashrani, A.</w:t>
            </w:r>
          </w:p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Bailey, K.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2001-2020</w:t>
            </w:r>
          </w:p>
        </w:tc>
      </w:tr>
      <w:tr w:rsidR="00CE1C21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32083F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HL120859-04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Heart failure in the community: multimorbidity and outcomes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Roger, V.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8620B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201</w:t>
            </w:r>
            <w:r w:rsidR="008620B5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C131CA">
              <w:rPr>
                <w:rFonts w:ascii="Arial" w:hAnsi="Arial" w:cs="Arial"/>
                <w:color w:val="000000"/>
                <w:sz w:val="19"/>
                <w:szCs w:val="19"/>
              </w:rPr>
              <w:t>-2019</w:t>
            </w:r>
          </w:p>
        </w:tc>
      </w:tr>
      <w:tr w:rsidR="00AC09E3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BA0DB1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HL124045-05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BA0DB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Novel informatics approaches for ascertainment of </w:t>
            </w:r>
            <w:r w:rsidR="00BA0DB1">
              <w:rPr>
                <w:rFonts w:ascii="Arial" w:hAnsi="Arial" w:cs="Arial"/>
                <w:color w:val="000000"/>
                <w:sz w:val="19"/>
                <w:szCs w:val="19"/>
              </w:rPr>
              <w:t xml:space="preserve">PAD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status and adverse outcomes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Arruda-Olson, A.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2015-2020</w:t>
            </w:r>
          </w:p>
        </w:tc>
      </w:tr>
      <w:tr w:rsidR="00A62361" w:rsidRPr="004D4CB4" w:rsidTr="00DC22D5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R03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361" w:rsidRDefault="00A62361" w:rsidP="00260B2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HL135225-</w:t>
            </w:r>
            <w:r w:rsidR="0032083F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 w:rsidR="004A35E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Understanding caregiving in heart failure and impact on outcomes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361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Dunlay, S.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361" w:rsidRDefault="00BA0DB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2016-2019</w:t>
            </w:r>
          </w:p>
        </w:tc>
      </w:tr>
      <w:tr w:rsidR="00DC22D5" w:rsidRPr="00DC22D5" w:rsidTr="00DC22D5">
        <w:trPr>
          <w:trHeight w:val="360"/>
          <w:tblHeader/>
          <w:jc w:val="center"/>
        </w:trPr>
        <w:tc>
          <w:tcPr>
            <w:tcW w:w="140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C22D5" w:rsidRPr="00DC22D5" w:rsidRDefault="00DC22D5" w:rsidP="000E012C">
            <w:pPr>
              <w:jc w:val="center"/>
              <w:rPr>
                <w:rFonts w:ascii="Arial" w:hAnsi="Arial" w:cs="Arial"/>
                <w:b/>
                <w:kern w:val="36"/>
                <w:sz w:val="16"/>
                <w:szCs w:val="16"/>
              </w:rPr>
            </w:pPr>
          </w:p>
        </w:tc>
      </w:tr>
      <w:tr w:rsidR="000E012C" w:rsidRPr="004D4CB4" w:rsidTr="00DC22D5">
        <w:trPr>
          <w:trHeight w:val="360"/>
          <w:tblHeader/>
          <w:jc w:val="center"/>
        </w:trPr>
        <w:tc>
          <w:tcPr>
            <w:tcW w:w="140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0E012C">
            <w:pPr>
              <w:jc w:val="center"/>
              <w:rPr>
                <w:rFonts w:ascii="Arial" w:hAnsi="Arial" w:cs="Arial"/>
                <w:b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6"/>
                <w:sz w:val="22"/>
                <w:szCs w:val="22"/>
              </w:rPr>
              <w:lastRenderedPageBreak/>
              <w:t>List of federally-funded grants currently supported by the Rochester Epidemiology Project (continued)</w:t>
            </w:r>
          </w:p>
          <w:p w:rsidR="000D68F6" w:rsidRPr="000D68F6" w:rsidRDefault="000D68F6" w:rsidP="000E0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12C" w:rsidRPr="000E012C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012C" w:rsidRP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Funding Institute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012C" w:rsidRPr="004D4CB4" w:rsidRDefault="000E012C" w:rsidP="00CF3A5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Grant Type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012C" w:rsidRP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Grant number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012C" w:rsidRP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Study Title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012C" w:rsidRP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PI Name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012C" w:rsidRP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Funding Years</w:t>
            </w:r>
          </w:p>
        </w:tc>
      </w:tr>
      <w:tr w:rsidR="000E012C" w:rsidRPr="00A4757A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U01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HL128606-03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Clinical implementation of </w:t>
            </w:r>
            <w:proofErr w:type="spellStart"/>
            <w:r w:rsidRPr="00BE6C9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clopidogrel</w:t>
            </w:r>
            <w:proofErr w:type="spellEnd"/>
            <w:r w:rsidRPr="00BE6C9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pharmacogenetics: the TAILOR-PCI trial - CCC - Lead application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Pereira, N.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2016-2020</w:t>
            </w:r>
          </w:p>
        </w:tc>
      </w:tr>
      <w:tr w:rsidR="000E012C" w:rsidRPr="00A4757A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U01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HL128606-03S1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TAILOR-PCI: Transitioning a genotype based randomized clinical trial to a registry using digital solutions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Pereira, N.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BE6C94" w:rsidRDefault="000E012C" w:rsidP="001E264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2016</w:t>
            </w:r>
            <w:r w:rsidRPr="00BE6C94">
              <w:rPr>
                <w:rFonts w:ascii="Arial" w:hAnsi="Arial" w:cs="Arial"/>
                <w:sz w:val="19"/>
                <w:szCs w:val="19"/>
              </w:rPr>
              <w:t>-2020</w:t>
            </w:r>
          </w:p>
        </w:tc>
      </w:tr>
      <w:tr w:rsidR="000E012C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260B2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HL135288-03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role of autoimmune mechanisms in the pathogenesis of atrial fibrillation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Melduni, 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2017-2021</w:t>
            </w:r>
          </w:p>
        </w:tc>
      </w:tr>
      <w:tr w:rsidR="000E012C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HL135879-02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EHR-based strategies to improve outcomes in familial hypercholesterolemia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Kullo, I.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2017-2021</w:t>
            </w:r>
          </w:p>
        </w:tc>
      </w:tr>
      <w:tr w:rsidR="000E012C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HL136348-01A1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Hypertensive pregnancy disorders and future coronary artery disease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Garovic, V.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E26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2018-2023</w:t>
            </w:r>
          </w:p>
        </w:tc>
      </w:tr>
      <w:tr w:rsidR="000E012C" w:rsidRPr="004D4CB4" w:rsidTr="00DC22D5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HL136659-02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Harnessing the electronic health record to predict risk of cardiovascular disease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Bielinski,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2017-2021</w:t>
            </w:r>
          </w:p>
        </w:tc>
      </w:tr>
      <w:tr w:rsidR="000E012C" w:rsidRPr="004D4CB4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NIAMS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AR027065-3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Epidemiology of age-related bone loss and fractures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Khosla, S.</w:t>
            </w:r>
          </w:p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Amin,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12C" w:rsidRPr="00EC75D7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1980-20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</w:tr>
      <w:tr w:rsidR="000E012C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NIAMS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2C" w:rsidRPr="004D4CB4" w:rsidRDefault="000E012C" w:rsidP="00260B2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AR046849-16A1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Beyond h</w:t>
            </w: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eart disease in rheumatoid arthritis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Multimorbidity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Crowson, C</w:t>
            </w: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2000-2023</w:t>
            </w:r>
          </w:p>
        </w:tc>
      </w:tr>
      <w:tr w:rsidR="000E012C" w:rsidRPr="004D4CB4" w:rsidTr="000E012C">
        <w:trPr>
          <w:trHeight w:val="576"/>
          <w:tblHeader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NIMH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MH114967-01A1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 multi-cohort assessment of gestational SSRI exposure on long-term psychiatric outcomes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Talati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, A.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2018-2021</w:t>
            </w:r>
          </w:p>
        </w:tc>
      </w:tr>
      <w:tr w:rsidR="000E012C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00724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NINDS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00724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00724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NS097495-03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00724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Development, validation, and application of an imaging based CVD scale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00724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Vemuri, P.</w:t>
            </w: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00724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2016-2021</w:t>
            </w:r>
          </w:p>
        </w:tc>
      </w:tr>
      <w:tr w:rsidR="000E012C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NINR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NR015441-04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Multi-purpose use of a patient-reported measure of treatment burden in primary care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Eton, D.</w:t>
            </w: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45046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2016-2021</w:t>
            </w:r>
          </w:p>
        </w:tc>
      </w:tr>
      <w:tr w:rsidR="000E012C" w:rsidRPr="004D4CB4" w:rsidTr="000E012C">
        <w:trPr>
          <w:trHeight w:val="576"/>
          <w:tblHeader/>
          <w:jc w:val="center"/>
        </w:trPr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NIOSH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U01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OH011681-01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261AD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Detection and incidence of thyroid cancer among three cohorts of WTC-exposed rescue and recovery workers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Zeig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-Owens, R.</w:t>
            </w: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012C" w:rsidRDefault="000E012C" w:rsidP="0045046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2018-2020</w:t>
            </w:r>
          </w:p>
        </w:tc>
      </w:tr>
      <w:tr w:rsidR="000E012C" w:rsidRPr="004D4CB4" w:rsidTr="000E012C">
        <w:trPr>
          <w:trHeight w:val="360"/>
          <w:tblHeader/>
          <w:jc w:val="center"/>
        </w:trPr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NLM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LM011972-04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Extracting typical and atypical disease progression patterns from multi-site EHR</w:t>
            </w: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Simon, G.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2C" w:rsidRPr="004D4CB4" w:rsidRDefault="000E012C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2015-2019</w:t>
            </w:r>
          </w:p>
        </w:tc>
      </w:tr>
    </w:tbl>
    <w:p w:rsidR="005E1F39" w:rsidRDefault="005E1F39" w:rsidP="00A87300"/>
    <w:sectPr w:rsidR="005E1F39" w:rsidSect="00A87300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6"/>
    <w:rsid w:val="00027CF1"/>
    <w:rsid w:val="00055FCA"/>
    <w:rsid w:val="000675A0"/>
    <w:rsid w:val="0008196D"/>
    <w:rsid w:val="000D68F6"/>
    <w:rsid w:val="000E012C"/>
    <w:rsid w:val="000E50D5"/>
    <w:rsid w:val="000E7C35"/>
    <w:rsid w:val="001023E5"/>
    <w:rsid w:val="00111E26"/>
    <w:rsid w:val="0015076A"/>
    <w:rsid w:val="00185719"/>
    <w:rsid w:val="001A1291"/>
    <w:rsid w:val="002137E6"/>
    <w:rsid w:val="00222592"/>
    <w:rsid w:val="00260B24"/>
    <w:rsid w:val="00261AD7"/>
    <w:rsid w:val="00265673"/>
    <w:rsid w:val="0026778C"/>
    <w:rsid w:val="00283901"/>
    <w:rsid w:val="002C1CCD"/>
    <w:rsid w:val="002E0581"/>
    <w:rsid w:val="002E675A"/>
    <w:rsid w:val="00311CFC"/>
    <w:rsid w:val="0032083F"/>
    <w:rsid w:val="00362B21"/>
    <w:rsid w:val="00373172"/>
    <w:rsid w:val="003B0AEE"/>
    <w:rsid w:val="003C2D9D"/>
    <w:rsid w:val="003C5874"/>
    <w:rsid w:val="003E7B5B"/>
    <w:rsid w:val="003F204B"/>
    <w:rsid w:val="00441762"/>
    <w:rsid w:val="00450468"/>
    <w:rsid w:val="004930A8"/>
    <w:rsid w:val="004A35E0"/>
    <w:rsid w:val="004D3237"/>
    <w:rsid w:val="004D3FC0"/>
    <w:rsid w:val="004D4CB4"/>
    <w:rsid w:val="00505F97"/>
    <w:rsid w:val="00506491"/>
    <w:rsid w:val="00525DB1"/>
    <w:rsid w:val="00556026"/>
    <w:rsid w:val="005B1BDF"/>
    <w:rsid w:val="005E1F39"/>
    <w:rsid w:val="005E2FCE"/>
    <w:rsid w:val="00621B24"/>
    <w:rsid w:val="006A5A2F"/>
    <w:rsid w:val="006C5529"/>
    <w:rsid w:val="006C56D1"/>
    <w:rsid w:val="006D6FEC"/>
    <w:rsid w:val="006E6344"/>
    <w:rsid w:val="00706BD6"/>
    <w:rsid w:val="00715B16"/>
    <w:rsid w:val="007675DC"/>
    <w:rsid w:val="0077038A"/>
    <w:rsid w:val="007950DF"/>
    <w:rsid w:val="007A1B03"/>
    <w:rsid w:val="007B1397"/>
    <w:rsid w:val="007E404A"/>
    <w:rsid w:val="008441FE"/>
    <w:rsid w:val="008620B5"/>
    <w:rsid w:val="008B31D7"/>
    <w:rsid w:val="008D1D44"/>
    <w:rsid w:val="00905CC0"/>
    <w:rsid w:val="00921B62"/>
    <w:rsid w:val="009230DE"/>
    <w:rsid w:val="00943196"/>
    <w:rsid w:val="00966139"/>
    <w:rsid w:val="00975A0A"/>
    <w:rsid w:val="009D5EAC"/>
    <w:rsid w:val="009D6CFD"/>
    <w:rsid w:val="009F5FF7"/>
    <w:rsid w:val="00A04184"/>
    <w:rsid w:val="00A43865"/>
    <w:rsid w:val="00A62361"/>
    <w:rsid w:val="00A87300"/>
    <w:rsid w:val="00A952C3"/>
    <w:rsid w:val="00AC09E3"/>
    <w:rsid w:val="00AE46DB"/>
    <w:rsid w:val="00B10C23"/>
    <w:rsid w:val="00B42C13"/>
    <w:rsid w:val="00B4369C"/>
    <w:rsid w:val="00B9099A"/>
    <w:rsid w:val="00BA0DB1"/>
    <w:rsid w:val="00BE6C94"/>
    <w:rsid w:val="00BF3924"/>
    <w:rsid w:val="00BF7B3B"/>
    <w:rsid w:val="00C061D6"/>
    <w:rsid w:val="00C06EAB"/>
    <w:rsid w:val="00C131CA"/>
    <w:rsid w:val="00C50B16"/>
    <w:rsid w:val="00CA4CA9"/>
    <w:rsid w:val="00CD511D"/>
    <w:rsid w:val="00CD5AD7"/>
    <w:rsid w:val="00CE1C21"/>
    <w:rsid w:val="00CF412A"/>
    <w:rsid w:val="00D02DA1"/>
    <w:rsid w:val="00D21B53"/>
    <w:rsid w:val="00D47B22"/>
    <w:rsid w:val="00D71241"/>
    <w:rsid w:val="00DC22D5"/>
    <w:rsid w:val="00DD2A34"/>
    <w:rsid w:val="00DE4466"/>
    <w:rsid w:val="00DF1028"/>
    <w:rsid w:val="00E46A7B"/>
    <w:rsid w:val="00E8196D"/>
    <w:rsid w:val="00E82602"/>
    <w:rsid w:val="00E97247"/>
    <w:rsid w:val="00EB1DF5"/>
    <w:rsid w:val="00EC75D7"/>
    <w:rsid w:val="00EE0BB5"/>
    <w:rsid w:val="00EF2B40"/>
    <w:rsid w:val="00F01709"/>
    <w:rsid w:val="00F13F70"/>
    <w:rsid w:val="00F16722"/>
    <w:rsid w:val="00F326A3"/>
    <w:rsid w:val="00F36637"/>
    <w:rsid w:val="00F62BFB"/>
    <w:rsid w:val="00FC7A04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jectreporter.nih.gov/reporter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 Greenlee</dc:creator>
  <cp:lastModifiedBy>Kristi M Klinger</cp:lastModifiedBy>
  <cp:revision>20</cp:revision>
  <cp:lastPrinted>2019-08-22T17:41:00Z</cp:lastPrinted>
  <dcterms:created xsi:type="dcterms:W3CDTF">2018-07-16T15:04:00Z</dcterms:created>
  <dcterms:modified xsi:type="dcterms:W3CDTF">2019-08-22T19:15:00Z</dcterms:modified>
</cp:coreProperties>
</file>